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9 vom 15. April 2025</w:t>
      </w:r>
    </w:p>
    <w:p>
      <w:r>
        <w:t>GR Gerichte, 2025-04-15, DE</w:t>
      </w:r>
    </w:p>
    <w:p>
      <w:r>
        <w:rPr>
          <w:b/>
        </w:rPr>
        <w:t xml:space="preserve">Quelle: </w:t>
      </w:r>
      <w:r>
        <w:t>https://mcp.opencaselaw.ch/entscheid/gr_gerichte_SR2 2025 9</w:t>
      </w:r>
    </w:p>
    <w:p>
      <w:r>
        <w:t>FR: GR_GERICHTE SR2 2025 9 du 15 avril 2025</w:t>
      </w:r>
    </w:p>
    <w:p>
      <w:r>
        <w:t>IT: GR_GERICHTE SR2 2025 9 del 15 aprile 2025</w:t>
      </w:r>
    </w:p>
    <w:p>
      <w:pPr>
        <w:pStyle w:val="Heading2"/>
      </w:pPr>
      <w:r>
        <w:t>Regeste</w:t>
      </w:r>
    </w:p>
    <w:p>
      <w:r>
        <w:t>Diebstahl etc. | Beschwerde gegen StA, Nichtanhandnahmeverfügung StPO 310 (früher Ablehnungsverfügung)</w:t>
      </w:r>
    </w:p>
    <w:p>
      <w:pPr>
        <w:pStyle w:val="Heading2"/>
      </w:pPr>
      <w:r>
        <w:t>Erwägungen</w:t>
      </w:r>
    </w:p>
    <w:p>
      <w:r>
        <w:rPr>
          <w:b/>
        </w:rPr>
        <w:t>E. 3</w:t>
      </w:r>
    </w:p>
    <w:p>
      <w:r>
        <w:t>/ 8 Abs. 1 der Verordnung über die Organisation und Geschäftsführung des Obergerichts [OGV; BR 173.010]). Die Beschwerdefrist beträgt 10 Tage (Art. 310 Abs. 2 i.V.m. Art. 322 Abs. 2 StPO; Art. 396 Abs. 1 StPO). 1.2. Die vorliegend angefochtene Nichtanhandnahmeverfügung wurde am 14. Januar 2025 erlassen und gleichentags mitgeteilt. Am 16. Januar 2025 wurde die eingeschriebene Postsendung der Beschwerdeführerin gemeldet (Abholungseinladung), mit Frist zur Abholung bis am 23. Januar 2025 (vgl. StA act. E.2). Die zehntätige Beschwerdefrist endete damit am 3. Februar 2025 (Art. 90 Abs. 2 StPO). Die am 3. Februar 2025 der Post übergebene Beschwerde erweist sich daher als rechtzeitig. Nur am Rande zu erwähnen bleibt, dass die von der Beschwerdeführerin am 23. Januar 2025 bei der Post in Auftrag gegebene Verlängerung der Abholfrist (vgl. hierzu StA act. E.2) keinen Einfluss auf Beginn und Ende der Beschwerdefrist hat (vgl. BGer 2C_1020/2018 v. 3.12.2018 E. 3.2.4 m.w.H.). Ob die Nachreichung der korrigierten Fassung der Beschwerde am</w:t>
      </w:r>
    </w:p>
    <w:p>
      <w:r>
        <w:rPr>
          <w:b/>
        </w:rPr>
        <w:t>E. 3.1</w:t>
      </w:r>
    </w:p>
    <w:p>
      <w:r>
        <w:t>Bei diesem Ausgang des Verfahrens wird die Beschwerdeführerin kostenpflichtig (Art. 428 Abs. 1 StPO). Die Gerichtskosten werden in Anwendung von Art. 7 Abs. 1 und 3 der Verordnung über die Gerichtsgebühren in Strafverfahren (VGS; BR 350.210) auf CHF 300.00 festgesetzt.</w:t>
      </w:r>
    </w:p>
    <w:p>
      <w:r>
        <w:rPr>
          <w:b/>
        </w:rPr>
        <w:t>E. 3.2</w:t>
      </w:r>
    </w:p>
    <w:p>
      <w:r>
        <w:t>Mangels Einholen von Stellungnahmen (vgl. act. D.2) sind von vornherein keine Entschädigungen zu sprechen.</w:t>
      </w:r>
    </w:p>
    <w:p>
      <w:r>
        <w:rPr>
          <w:b/>
        </w:rPr>
        <w:t>E. 4</w:t>
      </w:r>
    </w:p>
    <w:p>
      <w:r>
        <w:t>/ 8 die per Einschreiben versandte Verfügung der Beschwerdeführerin gemeldet (Abholungseinladung), mit Frist zur Abholung bis am 20. Februar 2025. Die von der Beschwerdeführerin am 20. Februar 2025 bei der Post in Auftrag gegebene Verlängerung der Abholfrist hat – wie bereits erwähnt (vgl. oben Erwägung 1.2) – keinen Einfluss auf den Beginn und das Ende von Fristen. Eine besondere Vertrauensschutzsituation liegt nicht vor, da im vorliegenden Fall nicht etwa die Post – als Hilfsperson des Gerichts – irrtümlich eine zu lange Abholfrist gewährte, sondern die Beschwerdeführerin die (von der Post an sich korrekt bemessene) Abholfrist mittels Auftrags verlängerte (vgl. zum Ganzen etwa BGer 2C_990/2015 v. 19.2.2016 E. 3.4), was – nebenbei bemerkt – Beleg dafür ist, dass die Beschwerdeführerin von der Abholungseinladung tatsächlich Kenntnis hatte, hätte sie doch sonst weder Anlass noch Möglichkeit gehabt, am 20. Februar 2025 die Abholfrist zu verlängern. Die Verfügung vom 12. Februar 2025, mit deren Zustellung die Beschwerdeführerin aufgrund des von ihr initiierten Beschwerdeverfahrens ohne Weiteres rechnen musste, galt daher am 20. Februar 2025 als zugestellt (Art. 85 Abs. 4 lit. a StPO). Die Sicherheitsleistung wurde innert der angesetzten Frist jedoch nicht bezahlt, was – entsprechend der Androhung in der Verfügung vom 12. Februar 2025 – grundsätzlich zur Folge hat, dass auf die Beschwerde nicht einzutreten ist. 2.1.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 Voraussetzung für eine Wiederherstellung ist zunächst, dass der säumigen Partei aus der Säumnis ein erheblicher und unersetzlicher Rechtsverlust erwächst. Dies ist – wie vorliegend – etwa dann der Fall, wenn die Möglichkeit eines Rechtsmittels bzw. Rechtsbehelfs unwiederbringlich verloren ist (vgl. Daniela Brüschweiler/Christa Grünig, in: Donatsch/Lieber/Summers/Wohlers [Hrsg.], Kommentar zur Schweizerischen Strafprozessordnung [StPO], 3. Aufl., Zürich 2020, N 2 zu Art. 94 StPO; Christof Riedo, in: Niggli/Heer/Wiprächtiger [Hrsg.], Basler Kommentar zur Schweizerischen Strafprozessordnung, 3. Aufl., Basel 2023, N 29 zu Art. 94 StPO). Im Weiteren darf die Partei an der Säumnis kein Verschulden treffen. Jedes Verschulden, auch bloss leichte Fahrlässigkeit, schliesst eine</w:t>
      </w:r>
    </w:p>
    <w:p>
      <w:r>
        <w:rPr>
          <w:b/>
        </w:rPr>
        <w:t>E. 5</w:t>
      </w:r>
    </w:p>
    <w:p>
      <w:r>
        <w:t>/ 8 Wiederherstellung gemäss Art. 94 StPO aus (Brüschweiler/Grünig, a.a.O., N 2 zu Art. 94 StPO; Riedo, a.a.O., N 35 zu Art. 94 StPO). Im Gesuch sind die Wiederherstellungsgründe genau anzugeben und soweit möglich zu belegen (Brüschweiler/Grünig, a.a.O., N 7 zu Art. 94 StPO).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So darf etwa die Rechtskraft eines strafrechtlichen Urteils nicht leicht durchbrochen werden. Bei Versäumnis gesetzlicher Fristen sind strengere Anforderungen zu stellen.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94 StPO nicht genügt (vgl. zum Ganzen BGer 6B_799/2022 v. 3.10.2022 E. 2.2; BGer 6B_1329/2020 v. 20.5.2021 E. 1.3.3 und E. 1.4; BGer 6B_1039/2016 v. 21.12.2016 E. 3.2; KGer GR SK2 17 10 v. 21.6.2017 E. 3d/aa; Brüschweiler/Grünig, a.a.O., N 2a zu Art. 94 StPO). 2.2. In ihrer Eingabe vom 3. März 2025 machte die Beschwerdeführerin geltend, von der Verfügung vom 12. Februar 2025, mit welcher sie zur Überweisung einer Sicherheitsleistung aufgefordert worden sei, habe sie erst am 26. Februar 2025 Kenntnis erhalten. In der Zeit vom 13. bis am 25. Februar 2025 sei sie aus gesundheitlichen Gründen nicht in der Lage gewesen, das Schreiben entgegenzunehmen. Zum Zeitpunkt der Kenntnisnahme der Verfügung sei die Frist zur Überweisung der Sicherheitsleistung schon verstrichen gewesen. Sie ersuche deshalb um Wiederherstellung der Frist zur Überweisung der Sicherheitsleistung (vgl. act. D.6). 2.3. Die Beschwerdeführerin gibt nicht näher an, welche gesundheitliche Beeinträchtigung bei ihr im angegebenen Zeitraum vorgelegen haben soll (in act. D.1 ist die Rede von einer "sehr starken Grippe (oder Corona)-Erkrankung", die jedoch im Zeitpunkt des Schreibens [4. Februar 2025] "am Ende" gewesen sein</w:t>
      </w:r>
    </w:p>
    <w:p>
      <w:r>
        <w:rPr>
          <w:b/>
        </w:rPr>
        <w:t>E. 6</w:t>
      </w:r>
    </w:p>
    <w:p>
      <w:r>
        <w:t>/ 8 soll). Umso weniger belegt sie mit einschlägigen Arztzeugnissen oder anderen geeigneten Dokumenten, dass die (angebliche) Erkrankung derart gewesen war, dass sie nicht in der Lage war, die Frist zur Bezahlung der Sicherheitsleistung zu wahren oder jemanden damit zu betrauen. Es gelingt der Beschwerdeführerin daher nicht glaubhaft zu machen, dass sie an der Säumnis kein Verschulden trifft, sodass das Gesuch um Wiederherstellung der Frist zur Bezahlung der Sicherheitsleistung bereits aus diesem Grund abzuweisen ist. Zudem hat es die Beschwerdeführerin unterlassen, innert 30 Tagen nach Wegfall des Säumnisgrundes die versäumte Verfahrenshandlung – vorliegend somit die Überweisung der Sicherheitsleistung – nachzuholen. 2.4. Der Vollständigkeit halber bleibt zu erwähnen, dass es sich bei der Beschwerdeführerin um eine ausgebildete Juristin und ehemalige Gerichtsschreiberin/Aktuarin an einem erstinstanzlichen Zivil- und Strafgericht handelt (Gerichtsnotorietät; vgl. KGer GR ZB 06 26 v. 19.2.2007 Sachverhalt lit. A; KGer GR ZK2 15 32 v. 4.1.2017 E. 5c), sodass ihr vom Obergericht nicht Gelegenheit gegeben werden musste, ihr Wiederherstellungsgesuch zu verbessern bzw. allfällige Belege zu ihrem (angeblich schlechten) Gesundheitszustand nachzureichen (vgl. hierzu BGer 6B_476/2024 v. 8.8.2024 E. 5.4; BGer 7B_8/2021 v. 25.8.2023 E. 5.4.10; Brüschweiler/Grünig, a.a.O., N 7 zu Art. 94 StPO). 2.5. Nach dem Ausgeführten ist das Gesuch um Wiederherstellung der Frist für die Einbezahlung der Sicherheitsleistung abzuweisen. Damit bleibt es dabei, dass die Sicherheitsleistung nicht fristgerecht bezahlt wurde, sodass auf die Beschwerde nicht einzutreten ist. Da unter diesen Umständen kein Schriftenwechsel durchgeführt werden musste, wird der Antrag der Beschwerdeführerin, es sei ihr ein zweiter Schriftenwechsel zu gewähren, obsolet, zumal dieser nicht dazu dienen kann, nach Ablauf der Beschwerdefrist die Beschwerde inhaltlich zu verbessern bzw. bis anhin Versäumtes nachzuholen. Hinfällig werden dürfte auch die von der Beschwerdeführerin gewünschte Akteneinsicht, zumal angesichts des Verzichts auf die Durchführung eines Schriftenwechsels nicht ersichtlich ist, inwiefern der Beschwerdeführerin die Einsicht in die Akten für das vorliegende Verfahren noch tatsächlich von Nutzen sein sollte. Sollte die Beschwerdeführerin auch nach Erlass der vorliegenden Verfügung noch Akteneinsicht wollen, bleibt es ihr unbenommen, sich beim Obergericht zu melden. 3. Die vorliegende Entscheidung ergeht gestützt auf Art. 388 Abs. 2 lit. a StPO in einzelrichterlicher Kompetenz.</w:t>
      </w:r>
    </w:p>
    <w:p>
      <w:r>
        <w:rPr>
          <w:b/>
        </w:rPr>
        <w:t>E. 7</w:t>
      </w:r>
    </w:p>
    <w:p>
      <w:r>
        <w:t>/ 8</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